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E5" w:rsidRDefault="00C25AE5" w:rsidP="00C25AE5">
      <w:pPr>
        <w:spacing w:line="560" w:lineRule="exact"/>
        <w:ind w:firstLine="0"/>
        <w:rPr>
          <w:rFonts w:ascii="Times New Roman"/>
        </w:rPr>
      </w:pPr>
      <w:r>
        <w:rPr>
          <w:rFonts w:ascii="Times New Roman" w:hint="eastAsia"/>
        </w:rPr>
        <w:t>附件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：</w:t>
      </w:r>
    </w:p>
    <w:tbl>
      <w:tblPr>
        <w:tblW w:w="4921" w:type="pct"/>
        <w:tblLayout w:type="fixed"/>
        <w:tblLook w:val="04A0" w:firstRow="1" w:lastRow="0" w:firstColumn="1" w:lastColumn="0" w:noHBand="0" w:noVBand="1"/>
      </w:tblPr>
      <w:tblGrid>
        <w:gridCol w:w="754"/>
        <w:gridCol w:w="1128"/>
        <w:gridCol w:w="1149"/>
        <w:gridCol w:w="1009"/>
        <w:gridCol w:w="3586"/>
        <w:gridCol w:w="6147"/>
        <w:gridCol w:w="1382"/>
      </w:tblGrid>
      <w:tr w:rsidR="00C25AE5" w:rsidTr="008306BF">
        <w:trPr>
          <w:trHeight w:val="68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jc w:val="center"/>
              <w:textAlignment w:val="center"/>
              <w:rPr>
                <w:rFonts w:ascii="方正大标宋_GBK" w:eastAsia="方正大标宋_GBK" w:hAnsi="方正大标宋_GBK" w:cs="方正大标宋_GBK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方正大标宋_GBK" w:eastAsia="方正大标宋_GBK" w:hAnsi="方正大标宋_GBK" w:cs="方正大标宋_GBK"/>
                <w:b/>
                <w:bCs/>
                <w:color w:val="000000"/>
                <w:kern w:val="0"/>
                <w:sz w:val="40"/>
                <w:szCs w:val="40"/>
              </w:rPr>
              <w:t>南京市浦口区科技创新投资有限公司招聘岗位信息表</w:t>
            </w:r>
          </w:p>
        </w:tc>
      </w:tr>
      <w:tr w:rsidR="00C25AE5" w:rsidTr="008306BF">
        <w:trPr>
          <w:trHeight w:val="54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71"/>
                <w:rFonts w:hint="default"/>
              </w:rPr>
              <w:t>序号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Style w:val="font81"/>
              </w:rPr>
              <w:t>岗位名称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</w:rPr>
              <w:t>任职资格要求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Style w:val="font81"/>
              </w:rPr>
              <w:t>备注</w:t>
            </w:r>
          </w:p>
        </w:tc>
      </w:tr>
      <w:tr w:rsidR="00C25AE5" w:rsidTr="008306BF">
        <w:trPr>
          <w:trHeight w:val="2315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南京雨山私募基金管理有限公司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101"/>
                <w:rFonts w:hint="default"/>
              </w:rPr>
              <w:t>投资业务岗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负责对拟投资基金或项目进行立项、尽职调查、投资决策、协议签署等投前工作；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负责投资项目出资、投资合</w:t>
            </w:r>
            <w:proofErr w:type="gramStart"/>
            <w:r>
              <w:rPr>
                <w:rStyle w:val="font101"/>
                <w:rFonts w:hint="default"/>
              </w:rPr>
              <w:t>规</w:t>
            </w:r>
            <w:proofErr w:type="gramEnd"/>
            <w:r>
              <w:rPr>
                <w:rStyle w:val="font101"/>
                <w:rFonts w:hint="default"/>
              </w:rPr>
              <w:t>性审查等投中工作；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负责投后管理、项目股权转让、退出等投后工作；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负责推进基金招引项目落地工作。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本科及以上学历并取得相应学位，硕士研究生优先，专业要求为管理类、经济类、理工类等相关专业；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具有基金从业资格；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具有</w:t>
            </w:r>
            <w:r>
              <w:rPr>
                <w:rStyle w:val="font91"/>
                <w:rFonts w:eastAsia="宋体"/>
              </w:rPr>
              <w:t>3</w:t>
            </w:r>
            <w:r>
              <w:rPr>
                <w:rStyle w:val="font101"/>
                <w:rFonts w:hint="default"/>
              </w:rPr>
              <w:t>年及以上投资机构相关从业经历；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独立负责投资项目</w:t>
            </w:r>
            <w:r>
              <w:rPr>
                <w:rStyle w:val="font91"/>
                <w:rFonts w:eastAsia="宋体"/>
              </w:rPr>
              <w:t>3</w:t>
            </w:r>
            <w:r>
              <w:rPr>
                <w:rStyle w:val="font101"/>
                <w:rFonts w:hint="default"/>
              </w:rPr>
              <w:t>个及以上或主导投资项目金额累计不低于</w:t>
            </w:r>
            <w:r>
              <w:rPr>
                <w:rStyle w:val="font91"/>
                <w:rFonts w:eastAsia="宋体"/>
              </w:rPr>
              <w:t>5000</w:t>
            </w:r>
            <w:r>
              <w:rPr>
                <w:rStyle w:val="font101"/>
                <w:rFonts w:hint="default"/>
              </w:rPr>
              <w:t>万元。其中，具有投资半导体、智能制造类项目经验的优先，</w:t>
            </w:r>
            <w:proofErr w:type="gramStart"/>
            <w:r>
              <w:rPr>
                <w:rStyle w:val="font101"/>
                <w:rFonts w:hint="default"/>
              </w:rPr>
              <w:t>主导领投的</w:t>
            </w:r>
            <w:proofErr w:type="gramEnd"/>
            <w:r>
              <w:rPr>
                <w:rStyle w:val="font101"/>
                <w:rFonts w:hint="default"/>
              </w:rPr>
              <w:t>优先；</w:t>
            </w:r>
            <w:r>
              <w:rPr>
                <w:rStyle w:val="font91"/>
                <w:rFonts w:eastAsia="宋体"/>
              </w:rPr>
              <w:br/>
              <w:t>5.</w:t>
            </w:r>
            <w:r>
              <w:rPr>
                <w:rStyle w:val="font101"/>
                <w:rFonts w:hint="default"/>
              </w:rPr>
              <w:t>具有</w:t>
            </w:r>
            <w:proofErr w:type="gramStart"/>
            <w:r>
              <w:rPr>
                <w:rStyle w:val="font101"/>
                <w:rFonts w:hint="default"/>
              </w:rPr>
              <w:t>募投管退基金</w:t>
            </w:r>
            <w:proofErr w:type="gramEnd"/>
            <w:r>
              <w:rPr>
                <w:rStyle w:val="font101"/>
                <w:rFonts w:hint="default"/>
              </w:rPr>
              <w:t>运作全流程管理经验的优先。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5AE5" w:rsidTr="008306BF">
        <w:trPr>
          <w:trHeight w:val="2334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南京雨山私募基金管理有限公司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8306BF">
            <w:pPr>
              <w:widowControl/>
              <w:spacing w:line="300" w:lineRule="exact"/>
              <w:ind w:firstLine="0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101"/>
                <w:rFonts w:hint="default"/>
              </w:rPr>
              <w:t>风险控制岗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负责研究和设计公司风险管理体系，拟定风险管理的规章制度和流程；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负责监控和分析公司投资业务的合</w:t>
            </w:r>
            <w:proofErr w:type="gramStart"/>
            <w:r>
              <w:rPr>
                <w:rStyle w:val="font101"/>
                <w:rFonts w:hint="default"/>
              </w:rPr>
              <w:t>规</w:t>
            </w:r>
            <w:proofErr w:type="gramEnd"/>
            <w:r>
              <w:rPr>
                <w:rStyle w:val="font101"/>
                <w:rFonts w:hint="default"/>
              </w:rPr>
              <w:t>风险、市场风险及操作风险；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负责草拟或配合其他部门修订相关协议；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负责参与投资项目的财务和法律尽调，并</w:t>
            </w:r>
            <w:proofErr w:type="gramStart"/>
            <w:r>
              <w:rPr>
                <w:rStyle w:val="font101"/>
                <w:rFonts w:hint="default"/>
              </w:rPr>
              <w:t>出具尽调报告</w:t>
            </w:r>
            <w:proofErr w:type="gramEnd"/>
            <w:r>
              <w:rPr>
                <w:rStyle w:val="font101"/>
                <w:rFonts w:hint="default"/>
              </w:rPr>
              <w:t>。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ind w:firstLine="0"/>
              <w:jc w:val="left"/>
              <w:textAlignment w:val="center"/>
              <w:rPr>
                <w:rFonts w:ascii="Times New Roman" w:eastAsia="宋体"/>
                <w:color w:val="000000"/>
                <w:sz w:val="22"/>
                <w:szCs w:val="22"/>
              </w:rPr>
            </w:pPr>
            <w:r>
              <w:rPr>
                <w:rStyle w:val="font91"/>
                <w:rFonts w:eastAsia="宋体"/>
              </w:rPr>
              <w:t>1.</w:t>
            </w:r>
            <w:r>
              <w:rPr>
                <w:rStyle w:val="font101"/>
                <w:rFonts w:hint="default"/>
              </w:rPr>
              <w:t>本科及以上学历并取得相应学位，硕士研究生优先，专业要求为法律类、财务财会类、审计类等相关专业；</w:t>
            </w:r>
            <w:r>
              <w:rPr>
                <w:rStyle w:val="font91"/>
                <w:rFonts w:eastAsia="宋体"/>
              </w:rPr>
              <w:br/>
              <w:t>2.</w:t>
            </w:r>
            <w:r>
              <w:rPr>
                <w:rStyle w:val="font101"/>
                <w:rFonts w:hint="default"/>
              </w:rPr>
              <w:t>具有</w:t>
            </w:r>
            <w:r>
              <w:rPr>
                <w:rStyle w:val="font91"/>
                <w:rFonts w:eastAsia="宋体"/>
              </w:rPr>
              <w:t>3</w:t>
            </w:r>
            <w:r>
              <w:rPr>
                <w:rStyle w:val="font101"/>
                <w:rFonts w:hint="default"/>
              </w:rPr>
              <w:t>年及以上金融机构相关从业经历；</w:t>
            </w:r>
            <w:r>
              <w:rPr>
                <w:rStyle w:val="font91"/>
                <w:rFonts w:eastAsia="宋体"/>
              </w:rPr>
              <w:br/>
              <w:t>3.</w:t>
            </w:r>
            <w:r>
              <w:rPr>
                <w:rStyle w:val="font101"/>
                <w:rFonts w:hint="default"/>
              </w:rPr>
              <w:t>具有独立出具</w:t>
            </w:r>
            <w:proofErr w:type="gramStart"/>
            <w:r>
              <w:rPr>
                <w:rStyle w:val="font101"/>
                <w:rFonts w:hint="default"/>
              </w:rPr>
              <w:t>项目风控尽职</w:t>
            </w:r>
            <w:proofErr w:type="gramEnd"/>
            <w:r>
              <w:rPr>
                <w:rStyle w:val="font101"/>
                <w:rFonts w:hint="default"/>
              </w:rPr>
              <w:t>调查报告的能力，至少出具</w:t>
            </w:r>
            <w:r>
              <w:rPr>
                <w:rStyle w:val="font91"/>
                <w:rFonts w:eastAsia="宋体"/>
              </w:rPr>
              <w:t>5</w:t>
            </w:r>
            <w:r>
              <w:rPr>
                <w:rStyle w:val="font101"/>
                <w:rFonts w:hint="default"/>
              </w:rPr>
              <w:t>份及以上相关</w:t>
            </w:r>
            <w:proofErr w:type="gramStart"/>
            <w:r>
              <w:rPr>
                <w:rStyle w:val="font101"/>
                <w:rFonts w:hint="default"/>
              </w:rPr>
              <w:t>风控尽调</w:t>
            </w:r>
            <w:proofErr w:type="gramEnd"/>
            <w:r>
              <w:rPr>
                <w:rStyle w:val="font101"/>
                <w:rFonts w:hint="default"/>
              </w:rPr>
              <w:t>报告；起草</w:t>
            </w:r>
            <w:r>
              <w:rPr>
                <w:rStyle w:val="font91"/>
                <w:rFonts w:eastAsia="宋体"/>
              </w:rPr>
              <w:t>/</w:t>
            </w:r>
            <w:r>
              <w:rPr>
                <w:rStyle w:val="font101"/>
                <w:rFonts w:hint="default"/>
              </w:rPr>
              <w:t>审核项目投资协议或基金合伙协议不少于</w:t>
            </w:r>
            <w:r>
              <w:rPr>
                <w:rStyle w:val="font91"/>
                <w:rFonts w:eastAsia="宋体"/>
              </w:rPr>
              <w:t>10</w:t>
            </w:r>
            <w:r>
              <w:rPr>
                <w:rStyle w:val="font101"/>
                <w:rFonts w:hint="default"/>
              </w:rPr>
              <w:t>份；</w:t>
            </w:r>
            <w:r>
              <w:rPr>
                <w:rStyle w:val="font91"/>
                <w:rFonts w:eastAsia="宋体"/>
              </w:rPr>
              <w:br/>
              <w:t>4.</w:t>
            </w:r>
            <w:r>
              <w:rPr>
                <w:rStyle w:val="font101"/>
                <w:rFonts w:hint="default"/>
              </w:rPr>
              <w:t>具有注册会计师或律师从业资格的优先。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rPr>
                <w:rFonts w:ascii="Times New Roman" w:eastAsia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5AE5" w:rsidTr="008306BF">
        <w:trPr>
          <w:trHeight w:val="650"/>
        </w:trPr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131"/>
                <w:rFonts w:hint="default"/>
              </w:rPr>
              <w:t>合计</w:t>
            </w:r>
          </w:p>
        </w:tc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AE5" w:rsidRDefault="00C25AE5" w:rsidP="0059213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Style w:val="font131"/>
                <w:rFonts w:hint="default"/>
              </w:rPr>
              <w:t>人</w:t>
            </w:r>
          </w:p>
        </w:tc>
      </w:tr>
    </w:tbl>
    <w:p w:rsidR="00FD6484" w:rsidRDefault="00FD6484"/>
    <w:sectPr w:rsidR="00FD6484" w:rsidSect="008306BF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E5"/>
    <w:rsid w:val="008306BF"/>
    <w:rsid w:val="00C25AE5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C67A"/>
  <w15:chartTrackingRefBased/>
  <w15:docId w15:val="{86C9FC14-808F-4238-A452-4350C30D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E5"/>
    <w:pPr>
      <w:widowControl w:val="0"/>
      <w:ind w:firstLine="652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C25AE5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C25AE5"/>
    <w:rPr>
      <w:rFonts w:ascii="方正黑体_GBK" w:eastAsia="方正黑体_GBK" w:hAnsi="方正黑体_GBK" w:cs="方正黑体_GBK"/>
      <w:color w:val="000000"/>
      <w:sz w:val="24"/>
      <w:szCs w:val="24"/>
      <w:u w:val="none"/>
    </w:rPr>
  </w:style>
  <w:style w:type="character" w:customStyle="1" w:styleId="font101">
    <w:name w:val="font101"/>
    <w:basedOn w:val="a0"/>
    <w:rsid w:val="00C25AE5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sid w:val="00C25AE5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sid w:val="00C25AE5"/>
    <w:rPr>
      <w:rFonts w:ascii="方正黑体_GBK" w:eastAsia="方正黑体_GBK" w:hAnsi="方正黑体_GBK" w:cs="方正黑体_GBK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2023-11-28T10:43:00Z</dcterms:created>
  <dcterms:modified xsi:type="dcterms:W3CDTF">2023-11-29T07:35:00Z</dcterms:modified>
</cp:coreProperties>
</file>